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4BDA08A2"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4A742F" w:rsidRPr="004A742F">
        <w:rPr>
          <w:rFonts w:ascii="Arial" w:hAnsi="Arial" w:cs="Arial"/>
          <w:b/>
          <w:sz w:val="22"/>
          <w:szCs w:val="22"/>
        </w:rPr>
        <w:t>R1-2109140</w:t>
      </w:r>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11EDF407"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 xml:space="preserve">Discussion on Rel-17 UE features for </w:t>
      </w:r>
      <w:r w:rsidR="00C12FF4">
        <w:rPr>
          <w:rFonts w:ascii="Arial" w:hAnsi="Arial"/>
          <w:b/>
          <w:lang w:eastAsia="zh-CN"/>
        </w:rPr>
        <w:t xml:space="preserve">UL </w:t>
      </w:r>
      <w:proofErr w:type="spellStart"/>
      <w:proofErr w:type="gramStart"/>
      <w:r w:rsidR="00C12FF4">
        <w:rPr>
          <w:rFonts w:ascii="Arial" w:hAnsi="Arial"/>
          <w:b/>
          <w:lang w:eastAsia="zh-CN"/>
        </w:rPr>
        <w:t>Tx</w:t>
      </w:r>
      <w:proofErr w:type="spellEnd"/>
      <w:proofErr w:type="gramEnd"/>
      <w:r w:rsidR="00C12FF4">
        <w:rPr>
          <w:rFonts w:ascii="Arial" w:hAnsi="Arial"/>
          <w:b/>
          <w:lang w:eastAsia="zh-CN"/>
        </w:rPr>
        <w:t xml:space="preserve"> switching</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5E2AFEBE"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r>
      <w:r w:rsidR="00504F1C">
        <w:rPr>
          <w:rFonts w:ascii="Arial" w:hAnsi="Arial"/>
          <w:b/>
        </w:rPr>
        <w:t>8.17.1</w:t>
      </w:r>
      <w:r w:rsidR="00C12FF4">
        <w:rPr>
          <w:rFonts w:ascii="Arial" w:hAnsi="Arial"/>
          <w:b/>
        </w:rPr>
        <w:t>7</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E57D8EB" w14:textId="1E37AB65" w:rsidR="00F75011" w:rsidRDefault="004457F6">
      <w:pPr>
        <w:rPr>
          <w:lang w:val="en-GB" w:eastAsia="zh-CN"/>
        </w:rPr>
      </w:pPr>
      <w:r>
        <w:rPr>
          <w:lang w:val="en-GB" w:eastAsia="zh-CN"/>
        </w:rPr>
        <w:t xml:space="preserve">After RAN1#106-e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 xml:space="preserve">Rel-17 UE features for </w:t>
      </w:r>
      <w:r w:rsidR="00C12FF4">
        <w:rPr>
          <w:lang w:val="en-GB" w:eastAsia="zh-CN"/>
        </w:rPr>
        <w:t xml:space="preserve">UL </w:t>
      </w:r>
      <w:proofErr w:type="spellStart"/>
      <w:proofErr w:type="gramStart"/>
      <w:r w:rsidR="00C12FF4">
        <w:rPr>
          <w:lang w:val="en-GB" w:eastAsia="zh-CN"/>
        </w:rPr>
        <w:t>Tx</w:t>
      </w:r>
      <w:proofErr w:type="spellEnd"/>
      <w:proofErr w:type="gramEnd"/>
      <w:r w:rsidR="00C12FF4">
        <w:rPr>
          <w:lang w:val="en-GB" w:eastAsia="zh-CN"/>
        </w:rPr>
        <w:t xml:space="preserve"> switching</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205BD175" w14:textId="77777777" w:rsidR="007212F8" w:rsidRDefault="007212F8" w:rsidP="007212F8">
      <w:pPr>
        <w:rPr>
          <w:lang w:val="en-GB" w:eastAsia="zh-CN"/>
        </w:rPr>
      </w:pPr>
      <w:r>
        <w:rPr>
          <w:rFonts w:hint="eastAsia"/>
          <w:lang w:val="en-GB" w:eastAsia="zh-CN"/>
        </w:rPr>
        <w:t>I</w:t>
      </w:r>
      <w:r>
        <w:rPr>
          <w:lang w:val="en-GB" w:eastAsia="zh-CN"/>
        </w:rPr>
        <w:t xml:space="preserve">n Rel-16, we have the following per-BC UE feature to supported option for UL </w:t>
      </w:r>
      <w:proofErr w:type="spellStart"/>
      <w:proofErr w:type="gramStart"/>
      <w:r>
        <w:rPr>
          <w:lang w:val="en-GB" w:eastAsia="zh-CN"/>
        </w:rPr>
        <w:t>Tx</w:t>
      </w:r>
      <w:proofErr w:type="spellEnd"/>
      <w:proofErr w:type="gramEnd"/>
      <w:r>
        <w:rPr>
          <w:lang w:val="en-GB" w:eastAsia="zh-CN"/>
        </w:rPr>
        <w:t xml:space="preserve">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699"/>
        <w:gridCol w:w="1537"/>
        <w:gridCol w:w="6279"/>
      </w:tblGrid>
      <w:tr w:rsidR="007212F8" w14:paraId="0B12E276" w14:textId="77777777" w:rsidTr="0007779A">
        <w:trPr>
          <w:trHeight w:val="20"/>
        </w:trPr>
        <w:tc>
          <w:tcPr>
            <w:tcW w:w="578" w:type="pct"/>
            <w:shd w:val="clear" w:color="auto" w:fill="auto"/>
          </w:tcPr>
          <w:p w14:paraId="7D7F3DE2" w14:textId="77777777" w:rsidR="007212F8" w:rsidRDefault="007212F8" w:rsidP="0007779A">
            <w:pPr>
              <w:pStyle w:val="TAH"/>
            </w:pPr>
            <w:r>
              <w:rPr>
                <w:rFonts w:hint="eastAsia"/>
              </w:rPr>
              <w:t>Features</w:t>
            </w:r>
          </w:p>
        </w:tc>
        <w:tc>
          <w:tcPr>
            <w:tcW w:w="363" w:type="pct"/>
            <w:shd w:val="clear" w:color="auto" w:fill="auto"/>
          </w:tcPr>
          <w:p w14:paraId="1575F2C7" w14:textId="77777777" w:rsidR="007212F8" w:rsidRDefault="007212F8" w:rsidP="0007779A">
            <w:pPr>
              <w:pStyle w:val="TAH"/>
            </w:pPr>
            <w:r>
              <w:rPr>
                <w:rFonts w:hint="eastAsia"/>
              </w:rPr>
              <w:t>Index</w:t>
            </w:r>
          </w:p>
        </w:tc>
        <w:tc>
          <w:tcPr>
            <w:tcW w:w="798" w:type="pct"/>
            <w:shd w:val="clear" w:color="auto" w:fill="auto"/>
          </w:tcPr>
          <w:p w14:paraId="68EF7084" w14:textId="77777777" w:rsidR="007212F8" w:rsidRDefault="007212F8" w:rsidP="0007779A">
            <w:pPr>
              <w:pStyle w:val="TAH"/>
            </w:pPr>
            <w:r>
              <w:rPr>
                <w:rFonts w:hint="eastAsia"/>
              </w:rPr>
              <w:t>Feature group</w:t>
            </w:r>
          </w:p>
        </w:tc>
        <w:tc>
          <w:tcPr>
            <w:tcW w:w="3261" w:type="pct"/>
            <w:shd w:val="clear" w:color="auto" w:fill="auto"/>
          </w:tcPr>
          <w:p w14:paraId="44BC68F2" w14:textId="77777777" w:rsidR="007212F8" w:rsidRDefault="007212F8" w:rsidP="0007779A">
            <w:pPr>
              <w:pStyle w:val="TAH"/>
            </w:pPr>
            <w:r>
              <w:rPr>
                <w:rFonts w:hint="eastAsia"/>
              </w:rPr>
              <w:t>Components</w:t>
            </w:r>
          </w:p>
        </w:tc>
      </w:tr>
      <w:tr w:rsidR="007212F8" w:rsidRPr="006D34C8" w14:paraId="20589181" w14:textId="77777777" w:rsidTr="0007779A">
        <w:trPr>
          <w:trHeight w:val="20"/>
        </w:trPr>
        <w:tc>
          <w:tcPr>
            <w:tcW w:w="578" w:type="pct"/>
            <w:shd w:val="clear" w:color="auto" w:fill="auto"/>
          </w:tcPr>
          <w:p w14:paraId="6E867479" w14:textId="77777777" w:rsidR="007212F8" w:rsidRPr="006D34C8" w:rsidRDefault="007212F8" w:rsidP="0007779A">
            <w:pPr>
              <w:pStyle w:val="TAH"/>
              <w:jc w:val="left"/>
              <w:rPr>
                <w:b w:val="0"/>
                <w:bCs/>
              </w:rPr>
            </w:pPr>
            <w:r w:rsidRPr="006D34C8">
              <w:rPr>
                <w:b w:val="0"/>
                <w:bCs/>
              </w:rPr>
              <w:t>22. NR Others</w:t>
            </w:r>
          </w:p>
        </w:tc>
        <w:tc>
          <w:tcPr>
            <w:tcW w:w="363" w:type="pct"/>
            <w:shd w:val="clear" w:color="auto" w:fill="auto"/>
          </w:tcPr>
          <w:p w14:paraId="372F3B38" w14:textId="77777777" w:rsidR="007212F8" w:rsidRPr="006D34C8" w:rsidRDefault="007212F8" w:rsidP="0007779A">
            <w:pPr>
              <w:pStyle w:val="TAH"/>
              <w:jc w:val="left"/>
              <w:rPr>
                <w:b w:val="0"/>
                <w:bCs/>
              </w:rPr>
            </w:pPr>
            <w:r w:rsidRPr="006D34C8">
              <w:rPr>
                <w:b w:val="0"/>
                <w:bCs/>
              </w:rPr>
              <w:t>22-</w:t>
            </w:r>
            <w:r w:rsidRPr="006D34C8">
              <w:rPr>
                <w:rFonts w:hint="eastAsia"/>
                <w:b w:val="0"/>
                <w:bCs/>
              </w:rPr>
              <w:t>1</w:t>
            </w:r>
          </w:p>
        </w:tc>
        <w:tc>
          <w:tcPr>
            <w:tcW w:w="798" w:type="pct"/>
            <w:shd w:val="clear" w:color="auto" w:fill="auto"/>
          </w:tcPr>
          <w:p w14:paraId="29FFB786" w14:textId="77777777" w:rsidR="007212F8" w:rsidRPr="006D34C8" w:rsidRDefault="007212F8" w:rsidP="0007779A">
            <w:pPr>
              <w:pStyle w:val="TAH"/>
              <w:jc w:val="left"/>
              <w:rPr>
                <w:b w:val="0"/>
                <w:bCs/>
              </w:rPr>
            </w:pPr>
            <w:r w:rsidRPr="006D34C8">
              <w:rPr>
                <w:b w:val="0"/>
                <w:bCs/>
              </w:rPr>
              <w:t xml:space="preserve">Indicating supported option for UL </w:t>
            </w:r>
            <w:proofErr w:type="spellStart"/>
            <w:r w:rsidRPr="006D34C8">
              <w:rPr>
                <w:b w:val="0"/>
                <w:bCs/>
              </w:rPr>
              <w:t>Tx</w:t>
            </w:r>
            <w:proofErr w:type="spellEnd"/>
            <w:r w:rsidRPr="006D34C8">
              <w:rPr>
                <w:b w:val="0"/>
                <w:bCs/>
              </w:rPr>
              <w:t xml:space="preserve"> switching for inter-band UL CA</w:t>
            </w:r>
          </w:p>
        </w:tc>
        <w:tc>
          <w:tcPr>
            <w:tcW w:w="3261" w:type="pct"/>
            <w:shd w:val="clear" w:color="auto" w:fill="auto"/>
          </w:tcPr>
          <w:p w14:paraId="523063E6" w14:textId="77777777" w:rsidR="007212F8" w:rsidRPr="006D34C8" w:rsidRDefault="007212F8" w:rsidP="0007779A">
            <w:pPr>
              <w:pStyle w:val="TAL"/>
              <w:rPr>
                <w:bCs/>
              </w:rPr>
            </w:pPr>
            <w:r w:rsidRPr="006D34C8">
              <w:rPr>
                <w:bCs/>
              </w:rPr>
              <w:t xml:space="preserve">Indicating supported option for UL </w:t>
            </w:r>
            <w:proofErr w:type="spellStart"/>
            <w:r w:rsidRPr="006D34C8">
              <w:rPr>
                <w:bCs/>
              </w:rPr>
              <w:t>Tx</w:t>
            </w:r>
            <w:proofErr w:type="spellEnd"/>
            <w:r w:rsidRPr="006D34C8">
              <w:rPr>
                <w:bCs/>
              </w:rPr>
              <w:t xml:space="preserve"> switching for inter-band UL CA</w:t>
            </w:r>
          </w:p>
          <w:p w14:paraId="25754EB1" w14:textId="77777777" w:rsidR="007212F8" w:rsidRPr="006D34C8" w:rsidRDefault="007212F8" w:rsidP="007212F8">
            <w:pPr>
              <w:pStyle w:val="TAH"/>
              <w:numPr>
                <w:ilvl w:val="0"/>
                <w:numId w:val="49"/>
              </w:numPr>
              <w:jc w:val="left"/>
              <w:rPr>
                <w:b w:val="0"/>
                <w:bCs/>
              </w:rPr>
            </w:pPr>
            <w:r w:rsidRPr="006D34C8">
              <w:rPr>
                <w:b w:val="0"/>
                <w:bCs/>
                <w:lang w:eastAsia="zh-CN"/>
              </w:rPr>
              <w:t>Candidate values set is {option1, option2, both option 1 and option 2}</w:t>
            </w:r>
          </w:p>
        </w:tc>
      </w:tr>
    </w:tbl>
    <w:p w14:paraId="00D2B3FF" w14:textId="77777777" w:rsidR="007212F8" w:rsidRDefault="007212F8" w:rsidP="007212F8">
      <w:pPr>
        <w:rPr>
          <w:lang w:val="en-GB" w:eastAsia="zh-CN"/>
        </w:rPr>
      </w:pPr>
    </w:p>
    <w:p w14:paraId="2E4FDE9B" w14:textId="77777777" w:rsidR="007212F8" w:rsidRDefault="007212F8" w:rsidP="007212F8">
      <w:pPr>
        <w:rPr>
          <w:lang w:val="en-GB" w:eastAsia="zh-CN"/>
        </w:rPr>
      </w:pPr>
      <w:r>
        <w:rPr>
          <w:rFonts w:hint="eastAsia"/>
          <w:lang w:val="en-GB" w:eastAsia="zh-CN"/>
        </w:rPr>
        <w:t>S</w:t>
      </w:r>
      <w:r>
        <w:rPr>
          <w:lang w:val="en-GB" w:eastAsia="zh-CN"/>
        </w:rPr>
        <w:t xml:space="preserve">imilarly, Rel-17 also specifies two different options for UL </w:t>
      </w:r>
      <w:proofErr w:type="spellStart"/>
      <w:proofErr w:type="gramStart"/>
      <w:r>
        <w:rPr>
          <w:lang w:val="en-GB" w:eastAsia="zh-CN"/>
        </w:rPr>
        <w:t>Tx</w:t>
      </w:r>
      <w:proofErr w:type="spellEnd"/>
      <w:proofErr w:type="gramEnd"/>
      <w:r>
        <w:rPr>
          <w:lang w:val="en-GB" w:eastAsia="zh-CN"/>
        </w:rPr>
        <w:t xml:space="preserve"> switching for inter-band UL CA. From our perspective, it is not appropriate to always require UE to support the same option for Rel-16 UL </w:t>
      </w:r>
      <w:proofErr w:type="spellStart"/>
      <w:r>
        <w:rPr>
          <w:lang w:val="en-GB" w:eastAsia="zh-CN"/>
        </w:rPr>
        <w:t>Tx</w:t>
      </w:r>
      <w:proofErr w:type="spellEnd"/>
      <w:r>
        <w:rPr>
          <w:lang w:val="en-GB" w:eastAsia="zh-CN"/>
        </w:rPr>
        <w:t xml:space="preserve"> switching and Rel-17 UL </w:t>
      </w:r>
      <w:proofErr w:type="spellStart"/>
      <w:r>
        <w:rPr>
          <w:lang w:val="en-GB" w:eastAsia="zh-CN"/>
        </w:rPr>
        <w:t>Tx</w:t>
      </w:r>
      <w:proofErr w:type="spellEnd"/>
      <w:r>
        <w:rPr>
          <w:lang w:val="en-GB" w:eastAsia="zh-CN"/>
        </w:rPr>
        <w:t xml:space="preserve"> switching for </w:t>
      </w:r>
      <w:proofErr w:type="spellStart"/>
      <w:r>
        <w:rPr>
          <w:lang w:val="en-GB" w:eastAsia="zh-CN"/>
        </w:rPr>
        <w:t>iner</w:t>
      </w:r>
      <w:proofErr w:type="spellEnd"/>
      <w:r>
        <w:rPr>
          <w:lang w:val="en-GB" w:eastAsia="zh-CN"/>
        </w:rPr>
        <w:t xml:space="preserve">-band UL CA. For example, UE may support “both Option1 and Option2” for Rel-16 1Tx-2Tx UL </w:t>
      </w:r>
      <w:proofErr w:type="spellStart"/>
      <w:proofErr w:type="gramStart"/>
      <w:r>
        <w:rPr>
          <w:lang w:val="en-GB" w:eastAsia="zh-CN"/>
        </w:rPr>
        <w:t>Tx</w:t>
      </w:r>
      <w:proofErr w:type="spellEnd"/>
      <w:proofErr w:type="gramEnd"/>
      <w:r>
        <w:rPr>
          <w:lang w:val="en-GB" w:eastAsia="zh-CN"/>
        </w:rPr>
        <w:t xml:space="preserve"> switching, but it may only support “Option1” for Rel-17 UL </w:t>
      </w:r>
      <w:proofErr w:type="spellStart"/>
      <w:r>
        <w:rPr>
          <w:lang w:val="en-GB" w:eastAsia="zh-CN"/>
        </w:rPr>
        <w:t>Tx</w:t>
      </w:r>
      <w:proofErr w:type="spellEnd"/>
      <w:r>
        <w:rPr>
          <w:lang w:val="en-GB" w:eastAsia="zh-CN"/>
        </w:rPr>
        <w:t xml:space="preserve"> switching, </w:t>
      </w:r>
    </w:p>
    <w:p w14:paraId="491BB727" w14:textId="77777777" w:rsidR="007212F8" w:rsidRDefault="007212F8" w:rsidP="007212F8">
      <w:pPr>
        <w:rPr>
          <w:lang w:val="en-GB" w:eastAsia="zh-CN"/>
        </w:rPr>
      </w:pPr>
      <w:r>
        <w:rPr>
          <w:lang w:val="en-GB" w:eastAsia="zh-CN"/>
        </w:rPr>
        <w:t xml:space="preserve">Rel-17 UL </w:t>
      </w:r>
      <w:proofErr w:type="spellStart"/>
      <w:r>
        <w:rPr>
          <w:lang w:val="en-GB" w:eastAsia="zh-CN"/>
        </w:rPr>
        <w:t>Tx</w:t>
      </w:r>
      <w:proofErr w:type="spellEnd"/>
      <w:r>
        <w:rPr>
          <w:lang w:val="en-GB" w:eastAsia="zh-CN"/>
        </w:rPr>
        <w:t xml:space="preserve">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474E2627" w14:textId="5618A69F" w:rsidR="007212F8" w:rsidRDefault="007212F8" w:rsidP="007212F8">
      <w:pPr>
        <w:rPr>
          <w:lang w:val="en-GB" w:eastAsia="zh-CN"/>
        </w:rPr>
      </w:pPr>
      <w:r>
        <w:rPr>
          <w:rFonts w:hint="eastAsia"/>
          <w:lang w:val="en-GB" w:eastAsia="zh-CN"/>
        </w:rPr>
        <w:t>T</w:t>
      </w:r>
      <w:r>
        <w:rPr>
          <w:lang w:val="en-GB" w:eastAsia="zh-CN"/>
        </w:rPr>
        <w:t xml:space="preserve">hus, we propose to introduce the following UE feature for Rel-17 2Tx-2Tx UL </w:t>
      </w:r>
      <w:proofErr w:type="spellStart"/>
      <w:proofErr w:type="gramStart"/>
      <w:r>
        <w:rPr>
          <w:lang w:val="en-GB" w:eastAsia="zh-CN"/>
        </w:rPr>
        <w:t>Tx</w:t>
      </w:r>
      <w:proofErr w:type="spellEnd"/>
      <w:proofErr w:type="gramEnd"/>
      <w:r>
        <w:rPr>
          <w:lang w:val="en-GB" w:eastAsia="zh-CN"/>
        </w:rPr>
        <w:t xml:space="preserve"> switching for both 2-carrier case and 3-carrier case.</w:t>
      </w:r>
    </w:p>
    <w:p w14:paraId="0ABD008D" w14:textId="0665E355" w:rsidR="007212F8" w:rsidRPr="007212F8" w:rsidRDefault="007212F8" w:rsidP="007212F8">
      <w:pPr>
        <w:rPr>
          <w:i/>
          <w:lang w:val="en-GB" w:eastAsia="zh-CN"/>
        </w:rPr>
      </w:pPr>
      <w:r w:rsidRPr="007212F8">
        <w:rPr>
          <w:b/>
          <w:i/>
          <w:lang w:val="en-GB" w:eastAsia="zh-CN"/>
        </w:rPr>
        <w:t>Proposal 1</w:t>
      </w:r>
      <w:r w:rsidRPr="007212F8">
        <w:rPr>
          <w:i/>
          <w:lang w:val="en-GB" w:eastAsia="zh-CN"/>
        </w:rPr>
        <w:t xml:space="preserve">: Introduce the following UE feature for Rel-17 2Tx-2Tx UL </w:t>
      </w:r>
      <w:proofErr w:type="spellStart"/>
      <w:proofErr w:type="gramStart"/>
      <w:r w:rsidRPr="007212F8">
        <w:rPr>
          <w:i/>
          <w:lang w:val="en-GB" w:eastAsia="zh-CN"/>
        </w:rPr>
        <w:t>Tx</w:t>
      </w:r>
      <w:proofErr w:type="spellEnd"/>
      <w:proofErr w:type="gramEnd"/>
      <w:r w:rsidRPr="007212F8">
        <w:rPr>
          <w:i/>
          <w:lang w:val="en-GB" w:eastAsia="zh-CN"/>
        </w:rPr>
        <w:t xml:space="preserve"> switching</w:t>
      </w:r>
      <w:r w:rsidRPr="007212F8">
        <w:rPr>
          <w:i/>
        </w:rPr>
        <w:t xml:space="preserve"> </w:t>
      </w:r>
      <w:r w:rsidRPr="007212F8">
        <w:rPr>
          <w:i/>
          <w:lang w:val="en-GB" w:eastAsia="zh-CN"/>
        </w:rPr>
        <w:t>for inter-band UL CA.</w:t>
      </w:r>
    </w:p>
    <w:p w14:paraId="28B41A11" w14:textId="77777777" w:rsidR="00A02B8C" w:rsidRPr="00A02B8C" w:rsidRDefault="00A02B8C" w:rsidP="00A02B8C">
      <w:pPr>
        <w:rPr>
          <w:lang w:val="en-GB" w:eastAsia="zh-CN"/>
        </w:rPr>
      </w:pPr>
    </w:p>
    <w:p w14:paraId="0B44448D" w14:textId="77777777" w:rsidR="00A02B8C" w:rsidRPr="00A02B8C" w:rsidRDefault="00A02B8C" w:rsidP="00A02B8C">
      <w:pPr>
        <w:rPr>
          <w:lang w:val="en-GB" w:eastAsia="zh-CN"/>
        </w:rPr>
      </w:pPr>
    </w:p>
    <w:p w14:paraId="77B12172" w14:textId="77777777" w:rsidR="00A02B8C" w:rsidRPr="00A02B8C" w:rsidRDefault="00A02B8C" w:rsidP="00A02B8C">
      <w:pPr>
        <w:rPr>
          <w:lang w:val="en-GB" w:eastAsia="zh-CN"/>
        </w:rPr>
      </w:pPr>
    </w:p>
    <w:p w14:paraId="489200BD" w14:textId="77777777" w:rsidR="00A02B8C" w:rsidRPr="00A02B8C" w:rsidRDefault="00A02B8C" w:rsidP="00A02B8C">
      <w:pPr>
        <w:rPr>
          <w:lang w:val="en-GB" w:eastAsia="zh-CN"/>
        </w:rPr>
      </w:pPr>
    </w:p>
    <w:p w14:paraId="5836B394" w14:textId="77777777" w:rsidR="00A02B8C" w:rsidRPr="00A02B8C" w:rsidRDefault="00A02B8C" w:rsidP="00A02B8C">
      <w:pPr>
        <w:rPr>
          <w:lang w:val="en-GB" w:eastAsia="zh-CN"/>
        </w:rPr>
      </w:pPr>
    </w:p>
    <w:p w14:paraId="5E7C6566" w14:textId="77777777" w:rsidR="00A02B8C" w:rsidRPr="00A02B8C" w:rsidRDefault="00A02B8C" w:rsidP="00A02B8C">
      <w:pPr>
        <w:rPr>
          <w:lang w:val="en-GB" w:eastAsia="zh-CN"/>
        </w:rPr>
      </w:pPr>
    </w:p>
    <w:p w14:paraId="041CD971" w14:textId="77777777" w:rsidR="00A02B8C" w:rsidRPr="00A02B8C" w:rsidRDefault="00A02B8C" w:rsidP="00A02B8C">
      <w:pPr>
        <w:rPr>
          <w:lang w:val="en-GB" w:eastAsia="zh-CN"/>
        </w:rPr>
      </w:pPr>
    </w:p>
    <w:p w14:paraId="4AC910D3" w14:textId="77777777" w:rsidR="00A02B8C" w:rsidRPr="00A02B8C" w:rsidRDefault="00A02B8C" w:rsidP="00A02B8C">
      <w:pPr>
        <w:rPr>
          <w:lang w:val="en-GB" w:eastAsia="zh-CN"/>
        </w:rPr>
      </w:pPr>
    </w:p>
    <w:p w14:paraId="67CC7AAA" w14:textId="1E974785" w:rsidR="00A02B8C" w:rsidRDefault="00A02B8C" w:rsidP="00A02B8C">
      <w:pPr>
        <w:rPr>
          <w:lang w:val="en-GB" w:eastAsia="zh-CN"/>
        </w:rPr>
      </w:pPr>
    </w:p>
    <w:p w14:paraId="1CBE036D" w14:textId="77777777" w:rsidR="00A02B8C" w:rsidRDefault="00A02B8C" w:rsidP="00A02B8C">
      <w:pPr>
        <w:jc w:val="center"/>
        <w:rPr>
          <w:lang w:val="en-GB" w:eastAsia="zh-CN"/>
        </w:rPr>
        <w:sectPr w:rsidR="00A02B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8"/>
        <w:gridCol w:w="3264"/>
        <w:gridCol w:w="851"/>
        <w:gridCol w:w="708"/>
        <w:gridCol w:w="1135"/>
        <w:gridCol w:w="851"/>
        <w:gridCol w:w="1694"/>
        <w:gridCol w:w="567"/>
        <w:gridCol w:w="567"/>
        <w:gridCol w:w="992"/>
        <w:gridCol w:w="424"/>
        <w:gridCol w:w="728"/>
      </w:tblGrid>
      <w:tr w:rsidR="007212F8" w:rsidRPr="00510AE6" w14:paraId="7B46FA94" w14:textId="77777777" w:rsidTr="007212F8">
        <w:trPr>
          <w:trHeight w:val="20"/>
        </w:trPr>
        <w:tc>
          <w:tcPr>
            <w:tcW w:w="270" w:type="pct"/>
            <w:tcBorders>
              <w:top w:val="single" w:sz="4" w:space="0" w:color="auto"/>
              <w:left w:val="single" w:sz="4" w:space="0" w:color="auto"/>
              <w:bottom w:val="single" w:sz="4" w:space="0" w:color="auto"/>
              <w:right w:val="single" w:sz="4" w:space="0" w:color="auto"/>
            </w:tcBorders>
            <w:hideMark/>
          </w:tcPr>
          <w:p w14:paraId="2E73B0F1"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2757D64F"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6FC5567C"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139" w:type="pct"/>
            <w:tcBorders>
              <w:top w:val="single" w:sz="4" w:space="0" w:color="auto"/>
              <w:left w:val="single" w:sz="4" w:space="0" w:color="auto"/>
              <w:bottom w:val="single" w:sz="4" w:space="0" w:color="auto"/>
              <w:right w:val="single" w:sz="4" w:space="0" w:color="auto"/>
            </w:tcBorders>
            <w:hideMark/>
          </w:tcPr>
          <w:p w14:paraId="0093BF53"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97" w:type="pct"/>
            <w:tcBorders>
              <w:top w:val="single" w:sz="4" w:space="0" w:color="auto"/>
              <w:left w:val="single" w:sz="4" w:space="0" w:color="auto"/>
              <w:bottom w:val="single" w:sz="4" w:space="0" w:color="auto"/>
              <w:right w:val="single" w:sz="4" w:space="0" w:color="auto"/>
            </w:tcBorders>
            <w:hideMark/>
          </w:tcPr>
          <w:p w14:paraId="3F1F7266"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34748315"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396" w:type="pct"/>
            <w:tcBorders>
              <w:top w:val="single" w:sz="4" w:space="0" w:color="auto"/>
              <w:left w:val="single" w:sz="4" w:space="0" w:color="auto"/>
              <w:bottom w:val="single" w:sz="4" w:space="0" w:color="auto"/>
              <w:right w:val="single" w:sz="4" w:space="0" w:color="auto"/>
            </w:tcBorders>
            <w:hideMark/>
          </w:tcPr>
          <w:p w14:paraId="74D57B44"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97" w:type="pct"/>
            <w:tcBorders>
              <w:top w:val="single" w:sz="4" w:space="0" w:color="auto"/>
              <w:left w:val="single" w:sz="4" w:space="0" w:color="auto"/>
              <w:bottom w:val="single" w:sz="4" w:space="0" w:color="auto"/>
              <w:right w:val="single" w:sz="4" w:space="0" w:color="auto"/>
            </w:tcBorders>
            <w:hideMark/>
          </w:tcPr>
          <w:p w14:paraId="3CE6DA36"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591" w:type="pct"/>
            <w:tcBorders>
              <w:top w:val="single" w:sz="4" w:space="0" w:color="auto"/>
              <w:left w:val="single" w:sz="4" w:space="0" w:color="auto"/>
              <w:bottom w:val="single" w:sz="4" w:space="0" w:color="auto"/>
              <w:right w:val="single" w:sz="4" w:space="0" w:color="auto"/>
            </w:tcBorders>
            <w:hideMark/>
          </w:tcPr>
          <w:p w14:paraId="7F4E22DA"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739C1235" w14:textId="77777777" w:rsidR="00510AE6" w:rsidRPr="00510AE6" w:rsidRDefault="00510AE6" w:rsidP="00510AE6">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198" w:type="pct"/>
            <w:tcBorders>
              <w:top w:val="single" w:sz="4" w:space="0" w:color="auto"/>
              <w:left w:val="single" w:sz="4" w:space="0" w:color="auto"/>
              <w:bottom w:val="single" w:sz="4" w:space="0" w:color="auto"/>
              <w:right w:val="single" w:sz="4" w:space="0" w:color="auto"/>
            </w:tcBorders>
            <w:hideMark/>
          </w:tcPr>
          <w:p w14:paraId="457375C3"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198" w:type="pct"/>
            <w:tcBorders>
              <w:top w:val="single" w:sz="4" w:space="0" w:color="auto"/>
              <w:left w:val="single" w:sz="4" w:space="0" w:color="auto"/>
              <w:bottom w:val="single" w:sz="4" w:space="0" w:color="auto"/>
              <w:right w:val="single" w:sz="4" w:space="0" w:color="auto"/>
            </w:tcBorders>
            <w:hideMark/>
          </w:tcPr>
          <w:p w14:paraId="79799314"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346" w:type="pct"/>
            <w:tcBorders>
              <w:top w:val="single" w:sz="4" w:space="0" w:color="auto"/>
              <w:left w:val="single" w:sz="4" w:space="0" w:color="auto"/>
              <w:bottom w:val="single" w:sz="4" w:space="0" w:color="auto"/>
              <w:right w:val="single" w:sz="4" w:space="0" w:color="auto"/>
            </w:tcBorders>
            <w:hideMark/>
          </w:tcPr>
          <w:p w14:paraId="480C4CEB"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8" w:type="pct"/>
            <w:tcBorders>
              <w:top w:val="single" w:sz="4" w:space="0" w:color="auto"/>
              <w:left w:val="single" w:sz="4" w:space="0" w:color="auto"/>
              <w:bottom w:val="single" w:sz="4" w:space="0" w:color="auto"/>
              <w:right w:val="single" w:sz="4" w:space="0" w:color="auto"/>
            </w:tcBorders>
            <w:hideMark/>
          </w:tcPr>
          <w:p w14:paraId="1AEFA785"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254" w:type="pct"/>
            <w:tcBorders>
              <w:top w:val="single" w:sz="4" w:space="0" w:color="auto"/>
              <w:left w:val="single" w:sz="4" w:space="0" w:color="auto"/>
              <w:bottom w:val="single" w:sz="4" w:space="0" w:color="auto"/>
              <w:right w:val="single" w:sz="4" w:space="0" w:color="auto"/>
            </w:tcBorders>
            <w:hideMark/>
          </w:tcPr>
          <w:p w14:paraId="76FA4C1D" w14:textId="77777777" w:rsidR="00510AE6" w:rsidRPr="00510AE6" w:rsidRDefault="00510AE6" w:rsidP="00510AE6">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7212F8" w:rsidRPr="00510AE6" w14:paraId="077205AB" w14:textId="77777777" w:rsidTr="007212F8">
        <w:trPr>
          <w:trHeight w:val="20"/>
        </w:trPr>
        <w:tc>
          <w:tcPr>
            <w:tcW w:w="270" w:type="pct"/>
            <w:tcBorders>
              <w:top w:val="single" w:sz="4" w:space="0" w:color="auto"/>
              <w:left w:val="single" w:sz="4" w:space="0" w:color="auto"/>
              <w:bottom w:val="single" w:sz="4" w:space="0" w:color="auto"/>
              <w:right w:val="single" w:sz="4" w:space="0" w:color="auto"/>
            </w:tcBorders>
          </w:tcPr>
          <w:p w14:paraId="6D07FE51" w14:textId="00F9276A"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 3</w:t>
            </w:r>
            <w:r w:rsidRPr="00C12FF4">
              <w:rPr>
                <w:rFonts w:ascii="Arial" w:hAnsi="Arial" w:cs="Arial" w:hint="eastAsia"/>
                <w:sz w:val="18"/>
                <w:szCs w:val="18"/>
                <w:lang w:val="en-GB" w:eastAsia="zh-CN"/>
              </w:rPr>
              <w:t>7</w:t>
            </w:r>
            <w:r w:rsidRPr="00C12FF4">
              <w:rPr>
                <w:rFonts w:ascii="Arial" w:hAnsi="Arial" w:cs="Arial"/>
                <w:sz w:val="18"/>
                <w:szCs w:val="18"/>
                <w:lang w:val="en-GB" w:eastAsia="zh-CN"/>
              </w:rPr>
              <w:t>. [NR_RF_FR1_enh]</w:t>
            </w:r>
          </w:p>
        </w:tc>
        <w:tc>
          <w:tcPr>
            <w:tcW w:w="197" w:type="pct"/>
            <w:tcBorders>
              <w:top w:val="single" w:sz="4" w:space="0" w:color="auto"/>
              <w:left w:val="single" w:sz="4" w:space="0" w:color="auto"/>
              <w:bottom w:val="single" w:sz="4" w:space="0" w:color="auto"/>
              <w:right w:val="single" w:sz="4" w:space="0" w:color="auto"/>
            </w:tcBorders>
          </w:tcPr>
          <w:p w14:paraId="66B461AF" w14:textId="4BC0B145"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37-1</w:t>
            </w:r>
          </w:p>
        </w:tc>
        <w:tc>
          <w:tcPr>
            <w:tcW w:w="421" w:type="pct"/>
            <w:tcBorders>
              <w:top w:val="single" w:sz="4" w:space="0" w:color="auto"/>
              <w:left w:val="single" w:sz="4" w:space="0" w:color="auto"/>
              <w:bottom w:val="single" w:sz="4" w:space="0" w:color="auto"/>
              <w:right w:val="single" w:sz="4" w:space="0" w:color="auto"/>
            </w:tcBorders>
          </w:tcPr>
          <w:p w14:paraId="311464F2" w14:textId="2DED26F2"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Indicating supported option for UL </w:t>
            </w:r>
            <w:proofErr w:type="spellStart"/>
            <w:r w:rsidRPr="00C12FF4">
              <w:rPr>
                <w:rFonts w:ascii="Arial" w:hAnsi="Arial" w:cs="Arial"/>
                <w:sz w:val="18"/>
                <w:szCs w:val="18"/>
                <w:lang w:val="en-GB" w:eastAsia="zh-CN"/>
              </w:rPr>
              <w:t>Tx</w:t>
            </w:r>
            <w:proofErr w:type="spellEnd"/>
            <w:r w:rsidRPr="00C12FF4">
              <w:rPr>
                <w:rFonts w:ascii="Arial" w:hAnsi="Arial" w:cs="Arial"/>
                <w:sz w:val="18"/>
                <w:szCs w:val="18"/>
                <w:lang w:val="en-GB" w:eastAsia="zh-CN"/>
              </w:rPr>
              <w:t xml:space="preserve"> switching for 2Tx-2Tx inter-band UL CA</w:t>
            </w:r>
          </w:p>
        </w:tc>
        <w:tc>
          <w:tcPr>
            <w:tcW w:w="1139" w:type="pct"/>
            <w:tcBorders>
              <w:top w:val="single" w:sz="4" w:space="0" w:color="auto"/>
              <w:left w:val="single" w:sz="4" w:space="0" w:color="auto"/>
              <w:bottom w:val="single" w:sz="4" w:space="0" w:color="auto"/>
              <w:right w:val="single" w:sz="4" w:space="0" w:color="auto"/>
            </w:tcBorders>
          </w:tcPr>
          <w:p w14:paraId="6490BD27" w14:textId="2943CBC6" w:rsidR="00C12FF4" w:rsidRPr="00C12FF4" w:rsidRDefault="00C12FF4" w:rsidP="00C12FF4">
            <w:pPr>
              <w:pStyle w:val="TAL"/>
              <w:rPr>
                <w:rFonts w:cs="Arial"/>
                <w:szCs w:val="18"/>
                <w:lang w:val="en-GB" w:eastAsia="zh-CN"/>
              </w:rPr>
            </w:pPr>
            <w:r w:rsidRPr="00C12FF4">
              <w:rPr>
                <w:rFonts w:cs="Arial"/>
                <w:szCs w:val="18"/>
                <w:lang w:val="en-GB" w:eastAsia="zh-CN"/>
              </w:rPr>
              <w:t xml:space="preserve">Indicating supported option for 2Tx-2Tx UL </w:t>
            </w:r>
            <w:proofErr w:type="spellStart"/>
            <w:r w:rsidRPr="00C12FF4">
              <w:rPr>
                <w:rFonts w:cs="Arial"/>
                <w:szCs w:val="18"/>
                <w:lang w:val="en-GB" w:eastAsia="zh-CN"/>
              </w:rPr>
              <w:t>Tx</w:t>
            </w:r>
            <w:proofErr w:type="spellEnd"/>
            <w:r w:rsidRPr="00C12FF4">
              <w:rPr>
                <w:rFonts w:cs="Arial"/>
                <w:szCs w:val="18"/>
                <w:lang w:val="en-GB" w:eastAsia="zh-CN"/>
              </w:rPr>
              <w:t xml:space="preserve"> switching for inter-band UL CA</w:t>
            </w:r>
          </w:p>
          <w:p w14:paraId="2366227F" w14:textId="1FB5620D" w:rsidR="00C12FF4" w:rsidRPr="00C12FF4" w:rsidRDefault="00C12FF4" w:rsidP="00C12FF4">
            <w:pPr>
              <w:pStyle w:val="a"/>
              <w:numPr>
                <w:ilvl w:val="0"/>
                <w:numId w:val="48"/>
              </w:numPr>
              <w:snapToGrid w:val="0"/>
              <w:spacing w:after="0"/>
              <w:contextualSpacing/>
              <w:jc w:val="left"/>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bookmarkStart w:id="3" w:name="_GoBack"/>
            <w:bookmarkEnd w:id="3"/>
          </w:p>
        </w:tc>
        <w:tc>
          <w:tcPr>
            <w:tcW w:w="297" w:type="pct"/>
            <w:tcBorders>
              <w:top w:val="single" w:sz="4" w:space="0" w:color="auto"/>
              <w:left w:val="single" w:sz="4" w:space="0" w:color="auto"/>
              <w:bottom w:val="single" w:sz="4" w:space="0" w:color="auto"/>
              <w:right w:val="single" w:sz="4" w:space="0" w:color="auto"/>
            </w:tcBorders>
          </w:tcPr>
          <w:p w14:paraId="2046262D" w14:textId="24FC5F87" w:rsidR="00C12FF4" w:rsidRPr="00C12FF4"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hint="eastAsia"/>
                <w:sz w:val="18"/>
                <w:szCs w:val="18"/>
                <w:lang w:val="en-GB" w:eastAsia="zh-CN"/>
              </w:rPr>
              <w:t>F</w:t>
            </w:r>
            <w:r w:rsidRPr="00C12FF4">
              <w:rPr>
                <w:rFonts w:ascii="Arial" w:hAnsi="Arial" w:cs="Arial"/>
                <w:sz w:val="18"/>
                <w:szCs w:val="18"/>
                <w:lang w:val="en-GB" w:eastAsia="zh-CN"/>
              </w:rPr>
              <w:t>FS</w:t>
            </w:r>
          </w:p>
        </w:tc>
        <w:tc>
          <w:tcPr>
            <w:tcW w:w="247" w:type="pct"/>
            <w:tcBorders>
              <w:top w:val="single" w:sz="4" w:space="0" w:color="auto"/>
              <w:left w:val="single" w:sz="4" w:space="0" w:color="auto"/>
              <w:bottom w:val="single" w:sz="4" w:space="0" w:color="auto"/>
              <w:right w:val="single" w:sz="4" w:space="0" w:color="auto"/>
            </w:tcBorders>
          </w:tcPr>
          <w:p w14:paraId="3E333D20" w14:textId="5090092D"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Y</w:t>
            </w:r>
            <w:r>
              <w:rPr>
                <w:rFonts w:ascii="Arial" w:hAnsi="Arial" w:cs="Arial"/>
                <w:sz w:val="18"/>
                <w:szCs w:val="18"/>
                <w:lang w:val="en-GB" w:eastAsia="zh-CN"/>
              </w:rPr>
              <w:t>es</w:t>
            </w:r>
          </w:p>
        </w:tc>
        <w:tc>
          <w:tcPr>
            <w:tcW w:w="396" w:type="pct"/>
            <w:tcBorders>
              <w:top w:val="single" w:sz="4" w:space="0" w:color="auto"/>
              <w:left w:val="single" w:sz="4" w:space="0" w:color="auto"/>
              <w:bottom w:val="single" w:sz="4" w:space="0" w:color="auto"/>
              <w:right w:val="single" w:sz="4" w:space="0" w:color="auto"/>
            </w:tcBorders>
          </w:tcPr>
          <w:p w14:paraId="4EBCD7FB" w14:textId="07D36A2E"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297" w:type="pct"/>
            <w:tcBorders>
              <w:top w:val="single" w:sz="4" w:space="0" w:color="auto"/>
              <w:left w:val="single" w:sz="4" w:space="0" w:color="auto"/>
              <w:bottom w:val="single" w:sz="4" w:space="0" w:color="auto"/>
              <w:right w:val="single" w:sz="4" w:space="0" w:color="auto"/>
            </w:tcBorders>
          </w:tcPr>
          <w:p w14:paraId="3DB68C7A" w14:textId="77777777" w:rsidR="00C12FF4" w:rsidRPr="00C12FF4"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sz="4" w:space="0" w:color="auto"/>
              <w:left w:val="single" w:sz="4" w:space="0" w:color="auto"/>
              <w:bottom w:val="single" w:sz="4" w:space="0" w:color="auto"/>
              <w:right w:val="single" w:sz="4" w:space="0" w:color="auto"/>
            </w:tcBorders>
          </w:tcPr>
          <w:p w14:paraId="1F380B6D" w14:textId="50AA87D8"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P</w:t>
            </w:r>
            <w:r>
              <w:rPr>
                <w:rFonts w:ascii="Arial" w:hAnsi="Arial" w:cs="Arial"/>
                <w:sz w:val="18"/>
                <w:szCs w:val="18"/>
                <w:lang w:val="en-GB" w:eastAsia="zh-CN"/>
              </w:rPr>
              <w:t>er BC</w:t>
            </w:r>
          </w:p>
        </w:tc>
        <w:tc>
          <w:tcPr>
            <w:tcW w:w="198" w:type="pct"/>
            <w:tcBorders>
              <w:top w:val="single" w:sz="4" w:space="0" w:color="auto"/>
              <w:left w:val="single" w:sz="4" w:space="0" w:color="auto"/>
              <w:bottom w:val="single" w:sz="4" w:space="0" w:color="auto"/>
              <w:right w:val="single" w:sz="4" w:space="0" w:color="auto"/>
            </w:tcBorders>
          </w:tcPr>
          <w:p w14:paraId="441B05AD" w14:textId="302F45A5"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98" w:type="pct"/>
            <w:tcBorders>
              <w:top w:val="single" w:sz="4" w:space="0" w:color="auto"/>
              <w:left w:val="single" w:sz="4" w:space="0" w:color="auto"/>
              <w:bottom w:val="single" w:sz="4" w:space="0" w:color="auto"/>
              <w:right w:val="single" w:sz="4" w:space="0" w:color="auto"/>
            </w:tcBorders>
          </w:tcPr>
          <w:p w14:paraId="5BB596B6" w14:textId="208FA2FC"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346" w:type="pct"/>
            <w:tcBorders>
              <w:top w:val="single" w:sz="4" w:space="0" w:color="auto"/>
              <w:left w:val="single" w:sz="4" w:space="0" w:color="auto"/>
              <w:bottom w:val="single" w:sz="4" w:space="0" w:color="auto"/>
              <w:right w:val="single" w:sz="4" w:space="0" w:color="auto"/>
            </w:tcBorders>
          </w:tcPr>
          <w:p w14:paraId="6063AE4A" w14:textId="416C616F"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48" w:type="pct"/>
            <w:tcBorders>
              <w:top w:val="single" w:sz="4" w:space="0" w:color="auto"/>
              <w:left w:val="single" w:sz="4" w:space="0" w:color="auto"/>
              <w:bottom w:val="single" w:sz="4" w:space="0" w:color="auto"/>
              <w:right w:val="single" w:sz="4" w:space="0" w:color="auto"/>
            </w:tcBorders>
          </w:tcPr>
          <w:p w14:paraId="6B22357B" w14:textId="77777777"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rPr>
            </w:pPr>
          </w:p>
        </w:tc>
        <w:tc>
          <w:tcPr>
            <w:tcW w:w="254" w:type="pct"/>
            <w:tcBorders>
              <w:top w:val="single" w:sz="4" w:space="0" w:color="auto"/>
              <w:left w:val="single" w:sz="4" w:space="0" w:color="auto"/>
              <w:bottom w:val="single" w:sz="4" w:space="0" w:color="auto"/>
              <w:right w:val="single" w:sz="4" w:space="0" w:color="auto"/>
            </w:tcBorders>
          </w:tcPr>
          <w:p w14:paraId="1A6A9F68" w14:textId="62BD3F80" w:rsidR="00C12FF4" w:rsidRPr="00510AE6" w:rsidRDefault="00C12FF4" w:rsidP="00C12FF4">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14:paraId="4EC8EF20" w14:textId="77777777" w:rsidR="00995E8B" w:rsidRPr="00A07F0B" w:rsidRDefault="00995E8B" w:rsidP="00A07F0B">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7D208BB2"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 xml:space="preserve">Rel-17 UE features for </w:t>
      </w:r>
      <w:r w:rsidR="007212F8">
        <w:rPr>
          <w:lang w:val="en-GB" w:eastAsia="zh-CN"/>
        </w:rPr>
        <w:t xml:space="preserve">UL </w:t>
      </w:r>
      <w:proofErr w:type="spellStart"/>
      <w:proofErr w:type="gramStart"/>
      <w:r w:rsidR="007212F8">
        <w:rPr>
          <w:lang w:val="en-GB" w:eastAsia="zh-CN"/>
        </w:rPr>
        <w:t>Tx</w:t>
      </w:r>
      <w:proofErr w:type="spellEnd"/>
      <w:proofErr w:type="gramEnd"/>
      <w:r w:rsidR="007212F8">
        <w:rPr>
          <w:lang w:val="en-GB" w:eastAsia="zh-CN"/>
        </w:rPr>
        <w:t xml:space="preserve"> switching</w:t>
      </w:r>
      <w:r w:rsidR="006F368A">
        <w:rPr>
          <w:lang w:val="en-GB" w:eastAsia="zh-CN"/>
        </w:rPr>
        <w:t xml:space="preserve"> </w:t>
      </w:r>
      <w:r>
        <w:rPr>
          <w:lang w:val="en-GB" w:eastAsia="zh-CN"/>
        </w:rPr>
        <w:t>with the following proposal.</w:t>
      </w:r>
    </w:p>
    <w:p w14:paraId="3538916F" w14:textId="77777777" w:rsidR="007212F8" w:rsidRPr="007212F8" w:rsidRDefault="007212F8" w:rsidP="007212F8">
      <w:pPr>
        <w:rPr>
          <w:i/>
          <w:lang w:val="en-GB" w:eastAsia="zh-CN"/>
        </w:rPr>
      </w:pPr>
      <w:r w:rsidRPr="007212F8">
        <w:rPr>
          <w:b/>
          <w:i/>
          <w:lang w:val="en-GB" w:eastAsia="zh-CN"/>
        </w:rPr>
        <w:t>Proposal 1</w:t>
      </w:r>
      <w:r w:rsidRPr="007212F8">
        <w:rPr>
          <w:i/>
          <w:lang w:val="en-GB" w:eastAsia="zh-CN"/>
        </w:rPr>
        <w:t xml:space="preserve">: Introduce the following UE feature for Rel-17 2Tx-2Tx UL </w:t>
      </w:r>
      <w:proofErr w:type="spellStart"/>
      <w:proofErr w:type="gramStart"/>
      <w:r w:rsidRPr="007212F8">
        <w:rPr>
          <w:i/>
          <w:lang w:val="en-GB" w:eastAsia="zh-CN"/>
        </w:rPr>
        <w:t>Tx</w:t>
      </w:r>
      <w:proofErr w:type="spellEnd"/>
      <w:proofErr w:type="gramEnd"/>
      <w:r w:rsidRPr="007212F8">
        <w:rPr>
          <w:i/>
          <w:lang w:val="en-GB" w:eastAsia="zh-CN"/>
        </w:rPr>
        <w:t xml:space="preserve"> switching</w:t>
      </w:r>
      <w:r w:rsidRPr="007212F8">
        <w:rPr>
          <w:i/>
        </w:rPr>
        <w:t xml:space="preserve"> </w:t>
      </w:r>
      <w:r w:rsidRPr="007212F8">
        <w:rPr>
          <w:i/>
          <w:lang w:val="en-GB"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8"/>
        <w:gridCol w:w="3264"/>
        <w:gridCol w:w="851"/>
        <w:gridCol w:w="708"/>
        <w:gridCol w:w="1135"/>
        <w:gridCol w:w="851"/>
        <w:gridCol w:w="1694"/>
        <w:gridCol w:w="567"/>
        <w:gridCol w:w="567"/>
        <w:gridCol w:w="992"/>
        <w:gridCol w:w="424"/>
        <w:gridCol w:w="728"/>
      </w:tblGrid>
      <w:tr w:rsidR="007212F8" w:rsidRPr="00510AE6" w14:paraId="55BF336B" w14:textId="77777777" w:rsidTr="0007779A">
        <w:trPr>
          <w:trHeight w:val="20"/>
        </w:trPr>
        <w:tc>
          <w:tcPr>
            <w:tcW w:w="270" w:type="pct"/>
            <w:tcBorders>
              <w:top w:val="single" w:sz="4" w:space="0" w:color="auto"/>
              <w:left w:val="single" w:sz="4" w:space="0" w:color="auto"/>
              <w:bottom w:val="single" w:sz="4" w:space="0" w:color="auto"/>
              <w:right w:val="single" w:sz="4" w:space="0" w:color="auto"/>
            </w:tcBorders>
            <w:hideMark/>
          </w:tcPr>
          <w:p w14:paraId="3ED06EAD"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5D32C3E1"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7F917131"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139" w:type="pct"/>
            <w:tcBorders>
              <w:top w:val="single" w:sz="4" w:space="0" w:color="auto"/>
              <w:left w:val="single" w:sz="4" w:space="0" w:color="auto"/>
              <w:bottom w:val="single" w:sz="4" w:space="0" w:color="auto"/>
              <w:right w:val="single" w:sz="4" w:space="0" w:color="auto"/>
            </w:tcBorders>
            <w:hideMark/>
          </w:tcPr>
          <w:p w14:paraId="09B05892"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97" w:type="pct"/>
            <w:tcBorders>
              <w:top w:val="single" w:sz="4" w:space="0" w:color="auto"/>
              <w:left w:val="single" w:sz="4" w:space="0" w:color="auto"/>
              <w:bottom w:val="single" w:sz="4" w:space="0" w:color="auto"/>
              <w:right w:val="single" w:sz="4" w:space="0" w:color="auto"/>
            </w:tcBorders>
            <w:hideMark/>
          </w:tcPr>
          <w:p w14:paraId="4D427E94"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0AFECDAF"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396" w:type="pct"/>
            <w:tcBorders>
              <w:top w:val="single" w:sz="4" w:space="0" w:color="auto"/>
              <w:left w:val="single" w:sz="4" w:space="0" w:color="auto"/>
              <w:bottom w:val="single" w:sz="4" w:space="0" w:color="auto"/>
              <w:right w:val="single" w:sz="4" w:space="0" w:color="auto"/>
            </w:tcBorders>
            <w:hideMark/>
          </w:tcPr>
          <w:p w14:paraId="6C2564D9"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97" w:type="pct"/>
            <w:tcBorders>
              <w:top w:val="single" w:sz="4" w:space="0" w:color="auto"/>
              <w:left w:val="single" w:sz="4" w:space="0" w:color="auto"/>
              <w:bottom w:val="single" w:sz="4" w:space="0" w:color="auto"/>
              <w:right w:val="single" w:sz="4" w:space="0" w:color="auto"/>
            </w:tcBorders>
            <w:hideMark/>
          </w:tcPr>
          <w:p w14:paraId="719AD476" w14:textId="77777777" w:rsidR="007212F8" w:rsidRPr="00510AE6" w:rsidRDefault="007212F8" w:rsidP="0007779A">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591" w:type="pct"/>
            <w:tcBorders>
              <w:top w:val="single" w:sz="4" w:space="0" w:color="auto"/>
              <w:left w:val="single" w:sz="4" w:space="0" w:color="auto"/>
              <w:bottom w:val="single" w:sz="4" w:space="0" w:color="auto"/>
              <w:right w:val="single" w:sz="4" w:space="0" w:color="auto"/>
            </w:tcBorders>
            <w:hideMark/>
          </w:tcPr>
          <w:p w14:paraId="5BD5A7FB" w14:textId="77777777" w:rsidR="007212F8" w:rsidRPr="00510AE6" w:rsidRDefault="007212F8" w:rsidP="0007779A">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2E9A1E6D" w14:textId="77777777" w:rsidR="007212F8" w:rsidRPr="00510AE6" w:rsidRDefault="007212F8" w:rsidP="0007779A">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198" w:type="pct"/>
            <w:tcBorders>
              <w:top w:val="single" w:sz="4" w:space="0" w:color="auto"/>
              <w:left w:val="single" w:sz="4" w:space="0" w:color="auto"/>
              <w:bottom w:val="single" w:sz="4" w:space="0" w:color="auto"/>
              <w:right w:val="single" w:sz="4" w:space="0" w:color="auto"/>
            </w:tcBorders>
            <w:hideMark/>
          </w:tcPr>
          <w:p w14:paraId="698E180F"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198" w:type="pct"/>
            <w:tcBorders>
              <w:top w:val="single" w:sz="4" w:space="0" w:color="auto"/>
              <w:left w:val="single" w:sz="4" w:space="0" w:color="auto"/>
              <w:bottom w:val="single" w:sz="4" w:space="0" w:color="auto"/>
              <w:right w:val="single" w:sz="4" w:space="0" w:color="auto"/>
            </w:tcBorders>
            <w:hideMark/>
          </w:tcPr>
          <w:p w14:paraId="0B3DD6D6"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346" w:type="pct"/>
            <w:tcBorders>
              <w:top w:val="single" w:sz="4" w:space="0" w:color="auto"/>
              <w:left w:val="single" w:sz="4" w:space="0" w:color="auto"/>
              <w:bottom w:val="single" w:sz="4" w:space="0" w:color="auto"/>
              <w:right w:val="single" w:sz="4" w:space="0" w:color="auto"/>
            </w:tcBorders>
            <w:hideMark/>
          </w:tcPr>
          <w:p w14:paraId="5E678BFC"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8" w:type="pct"/>
            <w:tcBorders>
              <w:top w:val="single" w:sz="4" w:space="0" w:color="auto"/>
              <w:left w:val="single" w:sz="4" w:space="0" w:color="auto"/>
              <w:bottom w:val="single" w:sz="4" w:space="0" w:color="auto"/>
              <w:right w:val="single" w:sz="4" w:space="0" w:color="auto"/>
            </w:tcBorders>
            <w:hideMark/>
          </w:tcPr>
          <w:p w14:paraId="45721DE2"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254" w:type="pct"/>
            <w:tcBorders>
              <w:top w:val="single" w:sz="4" w:space="0" w:color="auto"/>
              <w:left w:val="single" w:sz="4" w:space="0" w:color="auto"/>
              <w:bottom w:val="single" w:sz="4" w:space="0" w:color="auto"/>
              <w:right w:val="single" w:sz="4" w:space="0" w:color="auto"/>
            </w:tcBorders>
            <w:hideMark/>
          </w:tcPr>
          <w:p w14:paraId="45F1510D" w14:textId="77777777" w:rsidR="007212F8" w:rsidRPr="00510AE6" w:rsidRDefault="007212F8" w:rsidP="0007779A">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7212F8" w:rsidRPr="00510AE6" w14:paraId="3765A127" w14:textId="77777777" w:rsidTr="0007779A">
        <w:trPr>
          <w:trHeight w:val="20"/>
        </w:trPr>
        <w:tc>
          <w:tcPr>
            <w:tcW w:w="270" w:type="pct"/>
            <w:tcBorders>
              <w:top w:val="single" w:sz="4" w:space="0" w:color="auto"/>
              <w:left w:val="single" w:sz="4" w:space="0" w:color="auto"/>
              <w:bottom w:val="single" w:sz="4" w:space="0" w:color="auto"/>
              <w:right w:val="single" w:sz="4" w:space="0" w:color="auto"/>
            </w:tcBorders>
          </w:tcPr>
          <w:p w14:paraId="23246597"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 3</w:t>
            </w:r>
            <w:r w:rsidRPr="00C12FF4">
              <w:rPr>
                <w:rFonts w:ascii="Arial" w:hAnsi="Arial" w:cs="Arial" w:hint="eastAsia"/>
                <w:sz w:val="18"/>
                <w:szCs w:val="18"/>
                <w:lang w:val="en-GB" w:eastAsia="zh-CN"/>
              </w:rPr>
              <w:t>7</w:t>
            </w:r>
            <w:r w:rsidRPr="00C12FF4">
              <w:rPr>
                <w:rFonts w:ascii="Arial" w:hAnsi="Arial" w:cs="Arial"/>
                <w:sz w:val="18"/>
                <w:szCs w:val="18"/>
                <w:lang w:val="en-GB" w:eastAsia="zh-CN"/>
              </w:rPr>
              <w:t>. [NR_RF_FR1_enh]</w:t>
            </w:r>
          </w:p>
        </w:tc>
        <w:tc>
          <w:tcPr>
            <w:tcW w:w="197" w:type="pct"/>
            <w:tcBorders>
              <w:top w:val="single" w:sz="4" w:space="0" w:color="auto"/>
              <w:left w:val="single" w:sz="4" w:space="0" w:color="auto"/>
              <w:bottom w:val="single" w:sz="4" w:space="0" w:color="auto"/>
              <w:right w:val="single" w:sz="4" w:space="0" w:color="auto"/>
            </w:tcBorders>
          </w:tcPr>
          <w:p w14:paraId="465A23E7"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37-1</w:t>
            </w:r>
          </w:p>
        </w:tc>
        <w:tc>
          <w:tcPr>
            <w:tcW w:w="421" w:type="pct"/>
            <w:tcBorders>
              <w:top w:val="single" w:sz="4" w:space="0" w:color="auto"/>
              <w:left w:val="single" w:sz="4" w:space="0" w:color="auto"/>
              <w:bottom w:val="single" w:sz="4" w:space="0" w:color="auto"/>
              <w:right w:val="single" w:sz="4" w:space="0" w:color="auto"/>
            </w:tcBorders>
          </w:tcPr>
          <w:p w14:paraId="0B202ACA"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Indicating supported option for UL </w:t>
            </w:r>
            <w:proofErr w:type="spellStart"/>
            <w:r w:rsidRPr="00C12FF4">
              <w:rPr>
                <w:rFonts w:ascii="Arial" w:hAnsi="Arial" w:cs="Arial"/>
                <w:sz w:val="18"/>
                <w:szCs w:val="18"/>
                <w:lang w:val="en-GB" w:eastAsia="zh-CN"/>
              </w:rPr>
              <w:t>Tx</w:t>
            </w:r>
            <w:proofErr w:type="spellEnd"/>
            <w:r w:rsidRPr="00C12FF4">
              <w:rPr>
                <w:rFonts w:ascii="Arial" w:hAnsi="Arial" w:cs="Arial"/>
                <w:sz w:val="18"/>
                <w:szCs w:val="18"/>
                <w:lang w:val="en-GB" w:eastAsia="zh-CN"/>
              </w:rPr>
              <w:t xml:space="preserve"> switching for 2Tx-2Tx inter-band UL CA</w:t>
            </w:r>
          </w:p>
        </w:tc>
        <w:tc>
          <w:tcPr>
            <w:tcW w:w="1139" w:type="pct"/>
            <w:tcBorders>
              <w:top w:val="single" w:sz="4" w:space="0" w:color="auto"/>
              <w:left w:val="single" w:sz="4" w:space="0" w:color="auto"/>
              <w:bottom w:val="single" w:sz="4" w:space="0" w:color="auto"/>
              <w:right w:val="single" w:sz="4" w:space="0" w:color="auto"/>
            </w:tcBorders>
          </w:tcPr>
          <w:p w14:paraId="6C164100" w14:textId="77777777" w:rsidR="007212F8" w:rsidRPr="00C12FF4" w:rsidRDefault="007212F8" w:rsidP="0007779A">
            <w:pPr>
              <w:pStyle w:val="TAL"/>
              <w:rPr>
                <w:rFonts w:cs="Arial"/>
                <w:szCs w:val="18"/>
                <w:lang w:val="en-GB" w:eastAsia="zh-CN"/>
              </w:rPr>
            </w:pPr>
            <w:r w:rsidRPr="00C12FF4">
              <w:rPr>
                <w:rFonts w:cs="Arial"/>
                <w:szCs w:val="18"/>
                <w:lang w:val="en-GB" w:eastAsia="zh-CN"/>
              </w:rPr>
              <w:t xml:space="preserve">Indicating supported option for 2Tx-2Tx UL </w:t>
            </w:r>
            <w:proofErr w:type="spellStart"/>
            <w:r w:rsidRPr="00C12FF4">
              <w:rPr>
                <w:rFonts w:cs="Arial"/>
                <w:szCs w:val="18"/>
                <w:lang w:val="en-GB" w:eastAsia="zh-CN"/>
              </w:rPr>
              <w:t>Tx</w:t>
            </w:r>
            <w:proofErr w:type="spellEnd"/>
            <w:r w:rsidRPr="00C12FF4">
              <w:rPr>
                <w:rFonts w:cs="Arial"/>
                <w:szCs w:val="18"/>
                <w:lang w:val="en-GB" w:eastAsia="zh-CN"/>
              </w:rPr>
              <w:t xml:space="preserve"> switching for inter-band UL CA</w:t>
            </w:r>
          </w:p>
          <w:p w14:paraId="2CC890FE" w14:textId="77777777" w:rsidR="007212F8" w:rsidRPr="00C12FF4" w:rsidRDefault="007212F8" w:rsidP="0007779A">
            <w:pPr>
              <w:pStyle w:val="a"/>
              <w:numPr>
                <w:ilvl w:val="0"/>
                <w:numId w:val="48"/>
              </w:numPr>
              <w:snapToGrid w:val="0"/>
              <w:spacing w:after="0"/>
              <w:contextualSpacing/>
              <w:jc w:val="left"/>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297" w:type="pct"/>
            <w:tcBorders>
              <w:top w:val="single" w:sz="4" w:space="0" w:color="auto"/>
              <w:left w:val="single" w:sz="4" w:space="0" w:color="auto"/>
              <w:bottom w:val="single" w:sz="4" w:space="0" w:color="auto"/>
              <w:right w:val="single" w:sz="4" w:space="0" w:color="auto"/>
            </w:tcBorders>
          </w:tcPr>
          <w:p w14:paraId="256F1AA5" w14:textId="77777777" w:rsidR="007212F8" w:rsidRPr="00C12FF4"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hint="eastAsia"/>
                <w:sz w:val="18"/>
                <w:szCs w:val="18"/>
                <w:lang w:val="en-GB" w:eastAsia="zh-CN"/>
              </w:rPr>
              <w:t>F</w:t>
            </w:r>
            <w:r w:rsidRPr="00C12FF4">
              <w:rPr>
                <w:rFonts w:ascii="Arial" w:hAnsi="Arial" w:cs="Arial"/>
                <w:sz w:val="18"/>
                <w:szCs w:val="18"/>
                <w:lang w:val="en-GB" w:eastAsia="zh-CN"/>
              </w:rPr>
              <w:t>FS</w:t>
            </w:r>
          </w:p>
        </w:tc>
        <w:tc>
          <w:tcPr>
            <w:tcW w:w="247" w:type="pct"/>
            <w:tcBorders>
              <w:top w:val="single" w:sz="4" w:space="0" w:color="auto"/>
              <w:left w:val="single" w:sz="4" w:space="0" w:color="auto"/>
              <w:bottom w:val="single" w:sz="4" w:space="0" w:color="auto"/>
              <w:right w:val="single" w:sz="4" w:space="0" w:color="auto"/>
            </w:tcBorders>
          </w:tcPr>
          <w:p w14:paraId="325DF286"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Y</w:t>
            </w:r>
            <w:r>
              <w:rPr>
                <w:rFonts w:ascii="Arial" w:hAnsi="Arial" w:cs="Arial"/>
                <w:sz w:val="18"/>
                <w:szCs w:val="18"/>
                <w:lang w:val="en-GB" w:eastAsia="zh-CN"/>
              </w:rPr>
              <w:t>es</w:t>
            </w:r>
          </w:p>
        </w:tc>
        <w:tc>
          <w:tcPr>
            <w:tcW w:w="396" w:type="pct"/>
            <w:tcBorders>
              <w:top w:val="single" w:sz="4" w:space="0" w:color="auto"/>
              <w:left w:val="single" w:sz="4" w:space="0" w:color="auto"/>
              <w:bottom w:val="single" w:sz="4" w:space="0" w:color="auto"/>
              <w:right w:val="single" w:sz="4" w:space="0" w:color="auto"/>
            </w:tcBorders>
          </w:tcPr>
          <w:p w14:paraId="592DDC90"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297" w:type="pct"/>
            <w:tcBorders>
              <w:top w:val="single" w:sz="4" w:space="0" w:color="auto"/>
              <w:left w:val="single" w:sz="4" w:space="0" w:color="auto"/>
              <w:bottom w:val="single" w:sz="4" w:space="0" w:color="auto"/>
              <w:right w:val="single" w:sz="4" w:space="0" w:color="auto"/>
            </w:tcBorders>
          </w:tcPr>
          <w:p w14:paraId="4F737101" w14:textId="77777777" w:rsidR="007212F8" w:rsidRPr="00C12FF4"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sz="4" w:space="0" w:color="auto"/>
              <w:left w:val="single" w:sz="4" w:space="0" w:color="auto"/>
              <w:bottom w:val="single" w:sz="4" w:space="0" w:color="auto"/>
              <w:right w:val="single" w:sz="4" w:space="0" w:color="auto"/>
            </w:tcBorders>
          </w:tcPr>
          <w:p w14:paraId="1AC31466"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P</w:t>
            </w:r>
            <w:r>
              <w:rPr>
                <w:rFonts w:ascii="Arial" w:hAnsi="Arial" w:cs="Arial"/>
                <w:sz w:val="18"/>
                <w:szCs w:val="18"/>
                <w:lang w:val="en-GB" w:eastAsia="zh-CN"/>
              </w:rPr>
              <w:t>er BC</w:t>
            </w:r>
          </w:p>
        </w:tc>
        <w:tc>
          <w:tcPr>
            <w:tcW w:w="198" w:type="pct"/>
            <w:tcBorders>
              <w:top w:val="single" w:sz="4" w:space="0" w:color="auto"/>
              <w:left w:val="single" w:sz="4" w:space="0" w:color="auto"/>
              <w:bottom w:val="single" w:sz="4" w:space="0" w:color="auto"/>
              <w:right w:val="single" w:sz="4" w:space="0" w:color="auto"/>
            </w:tcBorders>
          </w:tcPr>
          <w:p w14:paraId="48F24926"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98" w:type="pct"/>
            <w:tcBorders>
              <w:top w:val="single" w:sz="4" w:space="0" w:color="auto"/>
              <w:left w:val="single" w:sz="4" w:space="0" w:color="auto"/>
              <w:bottom w:val="single" w:sz="4" w:space="0" w:color="auto"/>
              <w:right w:val="single" w:sz="4" w:space="0" w:color="auto"/>
            </w:tcBorders>
          </w:tcPr>
          <w:p w14:paraId="11ED0435"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346" w:type="pct"/>
            <w:tcBorders>
              <w:top w:val="single" w:sz="4" w:space="0" w:color="auto"/>
              <w:left w:val="single" w:sz="4" w:space="0" w:color="auto"/>
              <w:bottom w:val="single" w:sz="4" w:space="0" w:color="auto"/>
              <w:right w:val="single" w:sz="4" w:space="0" w:color="auto"/>
            </w:tcBorders>
          </w:tcPr>
          <w:p w14:paraId="4CC73115"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48" w:type="pct"/>
            <w:tcBorders>
              <w:top w:val="single" w:sz="4" w:space="0" w:color="auto"/>
              <w:left w:val="single" w:sz="4" w:space="0" w:color="auto"/>
              <w:bottom w:val="single" w:sz="4" w:space="0" w:color="auto"/>
              <w:right w:val="single" w:sz="4" w:space="0" w:color="auto"/>
            </w:tcBorders>
          </w:tcPr>
          <w:p w14:paraId="10B2C594"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rPr>
            </w:pPr>
          </w:p>
        </w:tc>
        <w:tc>
          <w:tcPr>
            <w:tcW w:w="254" w:type="pct"/>
            <w:tcBorders>
              <w:top w:val="single" w:sz="4" w:space="0" w:color="auto"/>
              <w:left w:val="single" w:sz="4" w:space="0" w:color="auto"/>
              <w:bottom w:val="single" w:sz="4" w:space="0" w:color="auto"/>
              <w:right w:val="single" w:sz="4" w:space="0" w:color="auto"/>
            </w:tcBorders>
          </w:tcPr>
          <w:p w14:paraId="3552752A" w14:textId="77777777" w:rsidR="007212F8" w:rsidRPr="00510AE6" w:rsidRDefault="007212F8" w:rsidP="0007779A">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14:paraId="3F85C9B0" w14:textId="77777777" w:rsidR="00C542C3" w:rsidRPr="00C542C3" w:rsidRDefault="00C542C3" w:rsidP="00C542C3">
      <w:pPr>
        <w:rPr>
          <w:i/>
          <w:lang w:val="en-GB" w:eastAsia="zh-CN"/>
        </w:rPr>
      </w:pP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4FF97188" w:rsidR="00ED248F" w:rsidRPr="005C1A89" w:rsidRDefault="003B63A0" w:rsidP="003B63A0">
      <w:pPr>
        <w:pStyle w:val="a"/>
        <w:numPr>
          <w:ilvl w:val="0"/>
          <w:numId w:val="15"/>
        </w:numPr>
        <w:rPr>
          <w:lang w:eastAsia="zh-CN"/>
        </w:rPr>
      </w:pPr>
      <w:r w:rsidRPr="003B63A0">
        <w:rPr>
          <w:lang w:eastAsia="zh-CN"/>
        </w:rPr>
        <w:t>R1-2108679</w:t>
      </w:r>
      <w:r w:rsidR="004457F6">
        <w:rPr>
          <w:lang w:eastAsia="zh-CN"/>
        </w:rPr>
        <w:t xml:space="preserve">, </w:t>
      </w:r>
      <w:r w:rsidR="003F4CBE" w:rsidRPr="003F4CBE">
        <w:rPr>
          <w:lang w:eastAsia="zh-CN"/>
        </w:rPr>
        <w:t xml:space="preserve">Preliminary RAN1 UE features list for Rel-17 </w:t>
      </w:r>
      <w:r>
        <w:rPr>
          <w:lang w:eastAsia="zh-CN"/>
        </w:rPr>
        <w:t>NR</w:t>
      </w:r>
      <w:r w:rsidR="004457F6">
        <w:rPr>
          <w:lang w:eastAsia="zh-CN"/>
        </w:rPr>
        <w:t xml:space="preserve">, </w:t>
      </w:r>
      <w:r w:rsidR="004457F6" w:rsidRPr="004457F6">
        <w:rPr>
          <w:lang w:eastAsia="zh-CN"/>
        </w:rPr>
        <w:t>RAN WG1 #106-e</w:t>
      </w:r>
      <w:r w:rsidR="004457F6">
        <w:rPr>
          <w:lang w:eastAsia="zh-CN"/>
        </w:rPr>
        <w:t xml:space="preserve">, </w:t>
      </w:r>
      <w:r w:rsidR="004457F6" w:rsidRPr="004457F6">
        <w:rPr>
          <w:lang w:eastAsia="zh-CN"/>
        </w:rPr>
        <w:t>Mo</w:t>
      </w:r>
      <w:r w:rsidR="004457F6">
        <w:rPr>
          <w:lang w:eastAsia="zh-CN"/>
        </w:rPr>
        <w:t>derators (AT&amp;T, NTT DOCOMO, INC</w:t>
      </w:r>
      <w:r w:rsidR="004457F6" w:rsidRPr="004457F6">
        <w:rPr>
          <w:lang w:eastAsia="zh-CN"/>
        </w:rPr>
        <w:t>)</w:t>
      </w:r>
      <w:r w:rsidR="004457F6">
        <w:rPr>
          <w:lang w:eastAsia="zh-CN"/>
        </w:rPr>
        <w:t>.</w:t>
      </w:r>
    </w:p>
    <w:sectPr w:rsidR="00ED248F" w:rsidRPr="005C1A89" w:rsidSect="00A02B8C">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7C05F" w14:textId="77777777" w:rsidR="004A3131" w:rsidRDefault="004A3131">
      <w:pPr>
        <w:spacing w:after="0"/>
      </w:pPr>
      <w:r>
        <w:separator/>
      </w:r>
    </w:p>
  </w:endnote>
  <w:endnote w:type="continuationSeparator" w:id="0">
    <w:p w14:paraId="5FC78AC2" w14:textId="77777777" w:rsidR="004A3131" w:rsidRDefault="004A3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4A742F">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A742F">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ADAFD" w14:textId="77777777" w:rsidR="004A3131" w:rsidRDefault="004A3131">
      <w:pPr>
        <w:spacing w:after="0"/>
      </w:pPr>
      <w:r>
        <w:separator/>
      </w:r>
    </w:p>
  </w:footnote>
  <w:footnote w:type="continuationSeparator" w:id="0">
    <w:p w14:paraId="36D63614" w14:textId="77777777" w:rsidR="004A3131" w:rsidRDefault="004A31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9E062B3"/>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4"/>
  </w:num>
  <w:num w:numId="3">
    <w:abstractNumId w:val="32"/>
  </w:num>
  <w:num w:numId="4">
    <w:abstractNumId w:val="20"/>
  </w:num>
  <w:num w:numId="5">
    <w:abstractNumId w:val="41"/>
  </w:num>
  <w:num w:numId="6">
    <w:abstractNumId w:val="30"/>
  </w:num>
  <w:num w:numId="7">
    <w:abstractNumId w:val="15"/>
  </w:num>
  <w:num w:numId="8">
    <w:abstractNumId w:val="39"/>
  </w:num>
  <w:num w:numId="9">
    <w:abstractNumId w:val="36"/>
  </w:num>
  <w:num w:numId="10">
    <w:abstractNumId w:val="12"/>
  </w:num>
  <w:num w:numId="11">
    <w:abstractNumId w:val="24"/>
  </w:num>
  <w:num w:numId="12">
    <w:abstractNumId w:val="31"/>
  </w:num>
  <w:num w:numId="13">
    <w:abstractNumId w:val="13"/>
  </w:num>
  <w:num w:numId="14">
    <w:abstractNumId w:val="22"/>
  </w:num>
  <w:num w:numId="15">
    <w:abstractNumId w:val="3"/>
  </w:num>
  <w:num w:numId="16">
    <w:abstractNumId w:val="32"/>
  </w:num>
  <w:num w:numId="17">
    <w:abstractNumId w:val="4"/>
  </w:num>
  <w:num w:numId="18">
    <w:abstractNumId w:val="27"/>
  </w:num>
  <w:num w:numId="19">
    <w:abstractNumId w:val="2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7"/>
  </w:num>
  <w:num w:numId="22">
    <w:abstractNumId w:val="1"/>
  </w:num>
  <w:num w:numId="23">
    <w:abstractNumId w:val="10"/>
  </w:num>
  <w:num w:numId="24">
    <w:abstractNumId w:val="2"/>
  </w:num>
  <w:num w:numId="25">
    <w:abstractNumId w:val="2"/>
  </w:num>
  <w:num w:numId="26">
    <w:abstractNumId w:val="21"/>
  </w:num>
  <w:num w:numId="27">
    <w:abstractNumId w:val="29"/>
  </w:num>
  <w:num w:numId="28">
    <w:abstractNumId w:val="37"/>
  </w:num>
  <w:num w:numId="29">
    <w:abstractNumId w:val="2"/>
  </w:num>
  <w:num w:numId="30">
    <w:abstractNumId w:val="33"/>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9"/>
  </w:num>
  <w:num w:numId="37">
    <w:abstractNumId w:val="1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5"/>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5E06"/>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CC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757"/>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67F"/>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31"/>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2F"/>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1C"/>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AE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88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356"/>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2F8"/>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C2A"/>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2FF4"/>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0E2"/>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665FE55-5D48-4FCB-86AE-3808568AB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90</cp:revision>
  <cp:lastPrinted>2018-04-07T03:05:00Z</cp:lastPrinted>
  <dcterms:created xsi:type="dcterms:W3CDTF">2021-04-04T12:30:00Z</dcterms:created>
  <dcterms:modified xsi:type="dcterms:W3CDTF">2021-09-29T03:10:00Z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